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7AD" w:rsidRPr="006B17AD" w:rsidRDefault="006B17AD" w:rsidP="00662D33">
      <w:pPr>
        <w:widowControl/>
        <w:spacing w:before="100" w:beforeAutospacing="1" w:after="100" w:afterAutospacing="1" w:line="480" w:lineRule="atLeast"/>
        <w:jc w:val="left"/>
        <w:rPr>
          <w:rFonts w:ascii="方正小标宋简体" w:eastAsia="方正小标宋简体"/>
          <w:sz w:val="44"/>
          <w:szCs w:val="44"/>
        </w:rPr>
      </w:pPr>
      <w:r w:rsidRPr="006B17AD">
        <w:rPr>
          <w:rFonts w:ascii="方正小标宋简体" w:eastAsia="方正小标宋简体" w:hint="eastAsia"/>
          <w:sz w:val="44"/>
          <w:szCs w:val="44"/>
        </w:rPr>
        <w:t>【优化营商环境】废旧轮胎变废为宝，强制执行保护权益</w:t>
      </w:r>
    </w:p>
    <w:p w:rsidR="006B17AD" w:rsidRDefault="006B17AD" w:rsidP="00662D3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62D33">
        <w:rPr>
          <w:rFonts w:ascii="仿宋_GB2312" w:eastAsia="仿宋_GB2312" w:hint="eastAsia"/>
          <w:sz w:val="32"/>
          <w:szCs w:val="32"/>
        </w:rPr>
        <w:t>近日，长春市绿园区人民法院成功拍卖一批废旧轮胎，为申请执行人执行回款40余万元。</w:t>
      </w:r>
    </w:p>
    <w:p w:rsidR="00662D33" w:rsidRPr="00662D33" w:rsidRDefault="00662D33" w:rsidP="00662D33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6B17AD" w:rsidRPr="006B17AD" w:rsidRDefault="006B17AD" w:rsidP="006B17AD">
      <w:pPr>
        <w:widowControl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kern w:val="0"/>
          <w:sz w:val="32"/>
          <w:szCs w:val="32"/>
        </w:rPr>
        <w:t>案情回顾</w:t>
      </w:r>
    </w:p>
    <w:p w:rsidR="006B17AD" w:rsidRDefault="006B17AD" w:rsidP="00662D3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62D33">
        <w:rPr>
          <w:rFonts w:ascii="仿宋_GB2312" w:eastAsia="仿宋_GB2312" w:hint="eastAsia"/>
          <w:sz w:val="32"/>
          <w:szCs w:val="32"/>
        </w:rPr>
        <w:t>2016年，刘某某向长春某银行借款150万元，长春某轮胎公司以一批轮胎为刘某某提供质押担保。后因刘某某未能按期还款，银行遂向绿园法院起诉，并在胜诉后申请强制执行。在执行过程中，办案人发现刘某某名下无可供执行财产，仅有轮胎公司提供担保的轮胎可供执行。</w:t>
      </w:r>
    </w:p>
    <w:p w:rsidR="00662D33" w:rsidRPr="00662D33" w:rsidRDefault="00662D33" w:rsidP="00662D33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6B17AD" w:rsidRPr="006B17AD" w:rsidRDefault="006B17AD" w:rsidP="006B17AD">
      <w:pPr>
        <w:widowControl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kern w:val="0"/>
          <w:sz w:val="32"/>
          <w:szCs w:val="32"/>
        </w:rPr>
        <w:t>清点查封</w:t>
      </w:r>
    </w:p>
    <w:p w:rsidR="006B17AD" w:rsidRPr="00662D33" w:rsidRDefault="006B17AD" w:rsidP="00662D3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62D33">
        <w:rPr>
          <w:rFonts w:ascii="仿宋_GB2312" w:eastAsia="仿宋_GB2312" w:hint="eastAsia"/>
          <w:sz w:val="32"/>
          <w:szCs w:val="32"/>
        </w:rPr>
        <w:t>时值严冬，执行干警赶赴现场清点轮胎，但轮胎公司和轮胎保管单位拒不配合执行。办案人一方面向其释法明理，一方面邀请公证处现场见证执行。在公证处的见证下，法院干警依法对这批轮胎进行清点。因这批轮胎数量多且年份、型号、品牌不一，清点工作异常艰辛，在十余名执行干警冒雪奋战下，直至天黑</w:t>
      </w:r>
      <w:r w:rsidRPr="00662D33">
        <w:rPr>
          <w:rFonts w:ascii="仿宋_GB2312" w:eastAsia="仿宋_GB2312" w:hint="eastAsia"/>
          <w:sz w:val="32"/>
          <w:szCs w:val="32"/>
        </w:rPr>
        <w:lastRenderedPageBreak/>
        <w:t>才清点、查封完毕，确认轮胎数量合计3061条，并制作查封、扣押财产清单。</w:t>
      </w:r>
    </w:p>
    <w:p w:rsidR="006B17AD" w:rsidRPr="006B17AD" w:rsidRDefault="006B17AD" w:rsidP="006B17AD">
      <w:pPr>
        <w:widowControl/>
        <w:spacing w:before="100" w:beforeAutospacing="1" w:after="100" w:afterAutospacing="1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bookmarkStart w:id="0" w:name="_GoBack"/>
      <w:r w:rsidRPr="006B17AD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4157387" cy="3118104"/>
            <wp:effectExtent l="0" t="0" r="0" b="0"/>
            <wp:docPr id="1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80" cy="313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B17AD" w:rsidRPr="006B17AD" w:rsidRDefault="006B17AD" w:rsidP="006B17AD">
      <w:pPr>
        <w:widowControl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kern w:val="0"/>
          <w:sz w:val="32"/>
          <w:szCs w:val="32"/>
        </w:rPr>
        <w:t>评估上拍</w:t>
      </w:r>
    </w:p>
    <w:p w:rsidR="006B17AD" w:rsidRDefault="006B17AD" w:rsidP="00662D3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62D33">
        <w:rPr>
          <w:rFonts w:ascii="仿宋_GB2312" w:eastAsia="仿宋_GB2312" w:hint="eastAsia"/>
          <w:sz w:val="32"/>
          <w:szCs w:val="32"/>
        </w:rPr>
        <w:t>为确定这批轮胎价值，绿园法院委托评估公司进行评估。评估公司在勘察过程中发现，这批轮胎生产年份从2008年至2015年不等，且均已达报废期限。办案人员经讨论认为这批轮胎虽均已达到报废年限，但其原材料仍具有一定价值，最终评估机构认定，这批轮胎合计3061条，价值183338元。评估后，法院将这批轮胎上拍至淘宝网司法拍卖平台。</w:t>
      </w:r>
    </w:p>
    <w:p w:rsidR="00662D33" w:rsidRPr="00662D33" w:rsidRDefault="00662D33" w:rsidP="00662D33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6B17AD" w:rsidRPr="006B17AD" w:rsidRDefault="006B17AD" w:rsidP="006B17AD">
      <w:pPr>
        <w:widowControl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kern w:val="0"/>
          <w:sz w:val="32"/>
          <w:szCs w:val="32"/>
        </w:rPr>
        <w:t>拍卖成功</w:t>
      </w:r>
    </w:p>
    <w:p w:rsidR="006B17AD" w:rsidRPr="00662D33" w:rsidRDefault="006B17AD" w:rsidP="00662D3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62D33">
        <w:rPr>
          <w:rFonts w:ascii="仿宋_GB2312" w:eastAsia="仿宋_GB2312" w:hint="eastAsia"/>
          <w:sz w:val="32"/>
          <w:szCs w:val="32"/>
        </w:rPr>
        <w:t>超乎预料的是，这批轮胎一上拍即受到广泛关注，咨询电话络绎不绝。此拍品以183338元起拍，经89轮竞价，最终在2021年8月15日被一名南京的竞买人以最高价竞得，成交价高达401338元，溢价率达118.9%。</w:t>
      </w:r>
    </w:p>
    <w:p w:rsidR="009F25BC" w:rsidRPr="009F25BC" w:rsidRDefault="009F25BC" w:rsidP="009F25BC">
      <w:pPr>
        <w:pStyle w:val="a8"/>
        <w:spacing w:line="480" w:lineRule="atLeast"/>
        <w:jc w:val="center"/>
        <w:rPr>
          <w:spacing w:val="21"/>
        </w:rPr>
      </w:pPr>
      <w:r>
        <w:rPr>
          <w:noProof/>
          <w:spacing w:val="21"/>
          <w:sz w:val="18"/>
          <w:szCs w:val="18"/>
        </w:rPr>
        <w:drawing>
          <wp:inline distT="0" distB="0" distL="0" distR="0">
            <wp:extent cx="2048256" cy="4010108"/>
            <wp:effectExtent l="0" t="0" r="0" b="0"/>
            <wp:docPr id="5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48" cy="40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AD" w:rsidRPr="006B17AD" w:rsidRDefault="006B17AD" w:rsidP="006B17AD">
      <w:pPr>
        <w:widowControl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kern w:val="0"/>
          <w:sz w:val="32"/>
          <w:szCs w:val="32"/>
        </w:rPr>
        <w:t>组织交接</w:t>
      </w:r>
    </w:p>
    <w:p w:rsidR="00662D33" w:rsidRDefault="00662D33" w:rsidP="00662D33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B17AD" w:rsidRPr="00662D33" w:rsidRDefault="006B17AD" w:rsidP="00662D3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62D33">
        <w:rPr>
          <w:rFonts w:ascii="仿宋_GB2312" w:eastAsia="仿宋_GB2312" w:hint="eastAsia"/>
          <w:sz w:val="32"/>
          <w:szCs w:val="32"/>
        </w:rPr>
        <w:t>因受疫情影响，该买受人无法从南京亲赴长春交接，由于担心自己迟延交接会产生大笔保管费用，故其未交纳拍卖尾款。8月19日，办案人了解情况后与南京的买受人沟通，告知其可以通过公证处办理授权委托书，委托非疫区人员办理交接。买受人得知该情况后打消了疑虑，迅速交清尾款、办理委托。同时为减少买受人的保管费用和委托成本，绿园法院于8月20日组织财产交接，最终在次日凌晨交接工作全部完毕。</w:t>
      </w:r>
    </w:p>
    <w:p w:rsidR="006B17AD" w:rsidRPr="006B17AD" w:rsidRDefault="006B17AD" w:rsidP="00383867">
      <w:pPr>
        <w:widowControl/>
        <w:spacing w:before="100" w:beforeAutospacing="1" w:after="100" w:afterAutospacing="1"/>
        <w:jc w:val="center"/>
        <w:rPr>
          <w:rFonts w:ascii="仿宋_GB2312" w:eastAsia="仿宋_GB2312" w:hAnsi="宋体" w:cs="宋体"/>
          <w:spacing w:val="21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noProof/>
          <w:spacing w:val="21"/>
          <w:kern w:val="0"/>
          <w:sz w:val="32"/>
          <w:szCs w:val="32"/>
        </w:rPr>
        <w:drawing>
          <wp:inline distT="0" distB="0" distL="0" distR="0">
            <wp:extent cx="3868354" cy="2898648"/>
            <wp:effectExtent l="0" t="0" r="0" b="0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53" cy="290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AD" w:rsidRPr="00662D33" w:rsidRDefault="006B17AD" w:rsidP="00662D3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62D33">
        <w:rPr>
          <w:rFonts w:ascii="仿宋_GB2312" w:eastAsia="仿宋_GB2312" w:hint="eastAsia"/>
          <w:sz w:val="32"/>
          <w:szCs w:val="32"/>
        </w:rPr>
        <w:t>成功处置废旧轮胎只是绿园法院执行办案的一个缩影，近年来绿园法院执行干警拓宽办案思路，持续为优化营商出实招、办实事，让各类市场主体真切感受到司法力度与温度。</w:t>
      </w:r>
    </w:p>
    <w:p w:rsidR="006B17AD" w:rsidRPr="006B17AD" w:rsidRDefault="006B17AD" w:rsidP="00662D33">
      <w:pPr>
        <w:widowControl/>
        <w:jc w:val="center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kern w:val="0"/>
          <w:sz w:val="32"/>
          <w:szCs w:val="32"/>
        </w:rPr>
        <w:br/>
      </w:r>
    </w:p>
    <w:p w:rsidR="006B17AD" w:rsidRPr="006B17AD" w:rsidRDefault="006B17AD" w:rsidP="006B17AD">
      <w:pPr>
        <w:widowControl/>
        <w:jc w:val="left"/>
        <w:rPr>
          <w:rFonts w:ascii="仿宋_GB2312" w:eastAsia="仿宋_GB2312" w:hAnsi="宋体" w:cs="宋体"/>
          <w:spacing w:val="21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spacing w:val="21"/>
          <w:kern w:val="0"/>
          <w:sz w:val="32"/>
          <w:szCs w:val="32"/>
        </w:rPr>
        <w:t>作者：张淦军</w:t>
      </w:r>
    </w:p>
    <w:p w:rsidR="006B17AD" w:rsidRPr="006B17AD" w:rsidRDefault="006B17AD" w:rsidP="006B17AD">
      <w:pPr>
        <w:widowControl/>
        <w:jc w:val="left"/>
        <w:rPr>
          <w:rFonts w:ascii="仿宋_GB2312" w:eastAsia="仿宋_GB2312" w:hAnsi="宋体" w:cs="宋体"/>
          <w:spacing w:val="21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spacing w:val="21"/>
          <w:kern w:val="0"/>
          <w:sz w:val="32"/>
          <w:szCs w:val="32"/>
        </w:rPr>
        <w:t>编辑：李</w:t>
      </w:r>
      <w:r w:rsidRPr="006B17AD">
        <w:rPr>
          <w:rFonts w:ascii="宋体" w:eastAsia="仿宋_GB2312" w:hAnsi="宋体" w:cs="宋体" w:hint="eastAsia"/>
          <w:spacing w:val="21"/>
          <w:kern w:val="0"/>
          <w:sz w:val="32"/>
          <w:szCs w:val="32"/>
        </w:rPr>
        <w:t> </w:t>
      </w:r>
      <w:r w:rsidRPr="006B17AD">
        <w:rPr>
          <w:rFonts w:ascii="仿宋_GB2312" w:eastAsia="仿宋_GB2312" w:hAnsi="宋体" w:cs="宋体" w:hint="eastAsia"/>
          <w:spacing w:val="21"/>
          <w:kern w:val="0"/>
          <w:sz w:val="32"/>
          <w:szCs w:val="32"/>
        </w:rPr>
        <w:t>雪</w:t>
      </w:r>
    </w:p>
    <w:p w:rsidR="006B17AD" w:rsidRPr="006B17AD" w:rsidRDefault="006B17AD" w:rsidP="006B17AD">
      <w:pPr>
        <w:widowControl/>
        <w:jc w:val="left"/>
        <w:rPr>
          <w:rFonts w:ascii="仿宋_GB2312" w:eastAsia="仿宋_GB2312" w:hAnsi="宋体" w:cs="宋体"/>
          <w:spacing w:val="21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spacing w:val="21"/>
          <w:kern w:val="0"/>
          <w:sz w:val="32"/>
          <w:szCs w:val="32"/>
        </w:rPr>
        <w:t>初审：沈</w:t>
      </w:r>
      <w:r w:rsidRPr="006B17AD">
        <w:rPr>
          <w:rFonts w:ascii="宋体" w:eastAsia="仿宋_GB2312" w:hAnsi="宋体" w:cs="宋体" w:hint="eastAsia"/>
          <w:spacing w:val="21"/>
          <w:kern w:val="0"/>
          <w:sz w:val="32"/>
          <w:szCs w:val="32"/>
        </w:rPr>
        <w:t> </w:t>
      </w:r>
      <w:r w:rsidRPr="006B17AD">
        <w:rPr>
          <w:rFonts w:ascii="仿宋_GB2312" w:eastAsia="仿宋_GB2312" w:hAnsi="宋体" w:cs="宋体" w:hint="eastAsia"/>
          <w:spacing w:val="21"/>
          <w:kern w:val="0"/>
          <w:sz w:val="32"/>
          <w:szCs w:val="32"/>
        </w:rPr>
        <w:t>影</w:t>
      </w:r>
    </w:p>
    <w:p w:rsidR="006B17AD" w:rsidRPr="006B17AD" w:rsidRDefault="006B17AD" w:rsidP="006B17AD">
      <w:pPr>
        <w:widowControl/>
        <w:jc w:val="left"/>
        <w:rPr>
          <w:rFonts w:ascii="仿宋_GB2312" w:eastAsia="仿宋_GB2312" w:hAnsi="宋体" w:cs="宋体"/>
          <w:spacing w:val="21"/>
          <w:kern w:val="0"/>
          <w:sz w:val="32"/>
          <w:szCs w:val="32"/>
        </w:rPr>
      </w:pPr>
      <w:r w:rsidRPr="006B17AD">
        <w:rPr>
          <w:rFonts w:ascii="仿宋_GB2312" w:eastAsia="仿宋_GB2312" w:hAnsi="宋体" w:cs="宋体" w:hint="eastAsia"/>
          <w:spacing w:val="21"/>
          <w:kern w:val="0"/>
          <w:sz w:val="32"/>
          <w:szCs w:val="32"/>
        </w:rPr>
        <w:t>审核：孙晓博</w:t>
      </w:r>
    </w:p>
    <w:p w:rsidR="006B17AD" w:rsidRPr="006B17AD" w:rsidRDefault="006B17AD" w:rsidP="006B17AD">
      <w:pPr>
        <w:widowControl/>
        <w:spacing w:before="100" w:beforeAutospacing="1" w:after="100" w:afterAutospacing="1" w:line="480" w:lineRule="atLeast"/>
        <w:rPr>
          <w:rFonts w:ascii="宋体" w:hAnsi="宋体" w:cs="宋体"/>
          <w:spacing w:val="21"/>
          <w:kern w:val="0"/>
          <w:sz w:val="24"/>
          <w:szCs w:val="24"/>
        </w:rPr>
      </w:pPr>
    </w:p>
    <w:p w:rsidR="006B17AD" w:rsidRPr="006B17AD" w:rsidRDefault="006B17AD" w:rsidP="006B17AD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</w:p>
    <w:p w:rsidR="002F3BC7" w:rsidRDefault="002F3BC7" w:rsidP="006B17AD">
      <w:pPr>
        <w:spacing w:line="360" w:lineRule="exact"/>
        <w:ind w:firstLineChars="200" w:firstLine="480"/>
        <w:rPr>
          <w:rFonts w:ascii="仿宋_GB2312" w:eastAsia="仿宋_GB2312"/>
          <w:sz w:val="24"/>
          <w:szCs w:val="28"/>
        </w:rPr>
      </w:pPr>
    </w:p>
    <w:sectPr w:rsidR="002F3BC7" w:rsidSect="002F3B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F3BC7"/>
    <w:rsid w:val="0021585A"/>
    <w:rsid w:val="002F3BC7"/>
    <w:rsid w:val="00383867"/>
    <w:rsid w:val="003E39D0"/>
    <w:rsid w:val="00662D33"/>
    <w:rsid w:val="006B17AD"/>
    <w:rsid w:val="009F25BC"/>
    <w:rsid w:val="00BD5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0504E"/>
  <w15:docId w15:val="{D01ADD32-FD77-49FB-92BC-1EE89EA9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BC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F3B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rsid w:val="002F3B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F3BC7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2F3BC7"/>
    <w:rPr>
      <w:sz w:val="18"/>
      <w:szCs w:val="18"/>
    </w:rPr>
  </w:style>
  <w:style w:type="character" w:styleId="a7">
    <w:name w:val="Strong"/>
    <w:basedOn w:val="a0"/>
    <w:uiPriority w:val="22"/>
    <w:qFormat/>
    <w:rsid w:val="006B17AD"/>
    <w:rPr>
      <w:b/>
      <w:bCs/>
    </w:rPr>
  </w:style>
  <w:style w:type="paragraph" w:styleId="a8">
    <w:name w:val="Normal (Web)"/>
    <w:basedOn w:val="a"/>
    <w:uiPriority w:val="99"/>
    <w:unhideWhenUsed/>
    <w:rsid w:val="006B17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B17A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B17A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144</Words>
  <Characters>823</Characters>
  <Application>Microsoft Office Word</Application>
  <DocSecurity>0</DocSecurity>
  <Lines>6</Lines>
  <Paragraphs>1</Paragraphs>
  <ScaleCrop>false</ScaleCrop>
  <Company>Microsoft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CDY-AN90</dc:creator>
  <cp:lastModifiedBy>Administrator</cp:lastModifiedBy>
  <cp:revision>7</cp:revision>
  <cp:lastPrinted>2021-09-01T09:41:00Z</cp:lastPrinted>
  <dcterms:created xsi:type="dcterms:W3CDTF">2021-09-01T07:22:00Z</dcterms:created>
  <dcterms:modified xsi:type="dcterms:W3CDTF">2021-09-02T07:38:00Z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044bd17c34794e118913a1013dd4cf35</vt:lpwstr>
  </property>
  <property fmtid="{D5CDD505-2E9C-101B-9397-08002B2CF9AE}" pid="3" name="KSOProductBuildVer">
    <vt:lpwstr>2052-11.1.0.10700</vt:lpwstr>
  </property>
</Properties>
</file>